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0B" w:rsidRPr="003A3634" w:rsidRDefault="005B6011" w:rsidP="00A95A0B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A3634">
        <w:rPr>
          <w:rFonts w:ascii="Times New Roman" w:hAnsi="Times New Roman" w:cs="Times New Roman"/>
          <w:b/>
          <w:bCs/>
          <w:sz w:val="27"/>
          <w:szCs w:val="27"/>
        </w:rPr>
        <w:t>О внесении изменени</w:t>
      </w:r>
      <w:r w:rsidR="00251983" w:rsidRPr="003A3634">
        <w:rPr>
          <w:rFonts w:ascii="Times New Roman" w:hAnsi="Times New Roman" w:cs="Times New Roman"/>
          <w:b/>
          <w:bCs/>
          <w:sz w:val="27"/>
          <w:szCs w:val="27"/>
        </w:rPr>
        <w:t xml:space="preserve">й </w:t>
      </w:r>
      <w:r w:rsidRPr="003A3634">
        <w:rPr>
          <w:rFonts w:ascii="Times New Roman" w:hAnsi="Times New Roman" w:cs="Times New Roman"/>
          <w:b/>
          <w:bCs/>
          <w:sz w:val="27"/>
          <w:szCs w:val="27"/>
        </w:rPr>
        <w:t xml:space="preserve">в постановление администрации муниципального образования «Няндомский муниципальный район» </w:t>
      </w:r>
    </w:p>
    <w:p w:rsidR="001D56FE" w:rsidRPr="003A3634" w:rsidRDefault="005B6011" w:rsidP="00327D86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A3634">
        <w:rPr>
          <w:rFonts w:ascii="Times New Roman" w:hAnsi="Times New Roman" w:cs="Times New Roman"/>
          <w:b/>
          <w:bCs/>
          <w:sz w:val="27"/>
          <w:szCs w:val="27"/>
        </w:rPr>
        <w:t>от 18 января 2019 года № 26</w:t>
      </w:r>
    </w:p>
    <w:tbl>
      <w:tblPr>
        <w:tblStyle w:val="a6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933"/>
      </w:tblGrid>
      <w:tr w:rsidR="00D729AA" w:rsidRPr="003A3634" w:rsidTr="005B6011">
        <w:tc>
          <w:tcPr>
            <w:tcW w:w="9464" w:type="dxa"/>
          </w:tcPr>
          <w:p w:rsidR="000002B9" w:rsidRPr="003A3634" w:rsidRDefault="000002B9" w:rsidP="003A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755E" w:rsidRPr="003A3634" w:rsidRDefault="00B50885" w:rsidP="000002B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A3634">
              <w:rPr>
                <w:rFonts w:ascii="Times New Roman" w:hAnsi="Times New Roman" w:cs="Times New Roman"/>
                <w:sz w:val="27"/>
                <w:szCs w:val="27"/>
              </w:rPr>
              <w:t>Руководствуясь подпунктом 1.</w:t>
            </w:r>
            <w:r w:rsidR="000002B9" w:rsidRPr="003A363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A3634">
              <w:rPr>
                <w:rFonts w:ascii="Times New Roman" w:hAnsi="Times New Roman" w:cs="Times New Roman"/>
                <w:sz w:val="27"/>
                <w:szCs w:val="27"/>
              </w:rPr>
              <w:t xml:space="preserve"> пункта 1 статьи 6 Положения о бюджетном процессе  в Няндомском муниципальном районе Архангельской области, утвержденного решением Собрания депутатов муниципального образования «Няндомский муниципальный район» от 30 сентября 2008 года </w:t>
            </w:r>
            <w:r w:rsidR="003A3634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3A3634">
              <w:rPr>
                <w:rFonts w:ascii="Times New Roman" w:hAnsi="Times New Roman" w:cs="Times New Roman"/>
                <w:sz w:val="27"/>
                <w:szCs w:val="27"/>
              </w:rPr>
              <w:t>№ 222</w:t>
            </w:r>
            <w:r w:rsidR="003A363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0002B9" w:rsidRPr="003A3634">
              <w:rPr>
                <w:rFonts w:ascii="Times New Roman" w:hAnsi="Times New Roman" w:cs="Times New Roman"/>
                <w:sz w:val="27"/>
                <w:szCs w:val="27"/>
              </w:rPr>
              <w:t>подпунктом 1.4 пункта 1 статьи 6 П</w:t>
            </w:r>
            <w:r w:rsidR="003A3634" w:rsidRPr="003A3634">
              <w:rPr>
                <w:rFonts w:ascii="Times New Roman" w:hAnsi="Times New Roman" w:cs="Times New Roman"/>
                <w:sz w:val="27"/>
                <w:szCs w:val="27"/>
              </w:rPr>
              <w:t>оложения о бюджетном процессе</w:t>
            </w:r>
            <w:r w:rsidR="000002B9" w:rsidRPr="003A3634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образовании «Няндомское», утвержденного решением муниципального Совета МО «Няндомское» от 24 сентября </w:t>
            </w:r>
            <w:r w:rsidR="003A3634" w:rsidRPr="003A3634">
              <w:rPr>
                <w:rFonts w:ascii="Times New Roman" w:hAnsi="Times New Roman" w:cs="Times New Roman"/>
                <w:sz w:val="27"/>
                <w:szCs w:val="27"/>
              </w:rPr>
              <w:t>2014 года №</w:t>
            </w:r>
            <w:r w:rsidR="000002B9" w:rsidRPr="003A3634">
              <w:rPr>
                <w:rFonts w:ascii="Times New Roman" w:hAnsi="Times New Roman" w:cs="Times New Roman"/>
                <w:sz w:val="27"/>
                <w:szCs w:val="27"/>
              </w:rPr>
              <w:t xml:space="preserve"> 83, </w:t>
            </w:r>
            <w:r w:rsidR="00C8755E" w:rsidRPr="003A3634">
              <w:rPr>
                <w:rFonts w:ascii="Times New Roman" w:hAnsi="Times New Roman" w:cs="Times New Roman"/>
                <w:sz w:val="27"/>
                <w:szCs w:val="27"/>
              </w:rPr>
              <w:t>пунктом 8</w:t>
            </w:r>
            <w:proofErr w:type="gramEnd"/>
            <w:r w:rsidR="00C8755E" w:rsidRPr="003A3634">
              <w:rPr>
                <w:rFonts w:ascii="Times New Roman" w:hAnsi="Times New Roman" w:cs="Times New Roman"/>
                <w:sz w:val="27"/>
                <w:szCs w:val="27"/>
              </w:rPr>
              <w:t xml:space="preserve"> статьи 5</w:t>
            </w:r>
            <w:r w:rsidR="000002B9" w:rsidRPr="003A3634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="00C8755E" w:rsidRPr="003A3634">
              <w:rPr>
                <w:rFonts w:ascii="Times New Roman" w:hAnsi="Times New Roman" w:cs="Times New Roman"/>
                <w:sz w:val="27"/>
                <w:szCs w:val="27"/>
              </w:rPr>
              <w:t xml:space="preserve"> статьями 32, 36.1 Устава Няндомского района, администрация Няндомского муниципального района Архангельской области </w:t>
            </w:r>
            <w:proofErr w:type="gramStart"/>
            <w:r w:rsidR="00C8755E" w:rsidRPr="003A3634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="00C8755E" w:rsidRPr="003A363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 с т а н о в л я е т</w:t>
            </w:r>
            <w:r w:rsidR="00C8755E" w:rsidRPr="003A363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A0558" w:rsidRPr="003A3634" w:rsidRDefault="00C8755E" w:rsidP="008B6D25">
            <w:pPr>
              <w:ind w:firstLine="709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A3634">
              <w:rPr>
                <w:rFonts w:ascii="Times New Roman" w:hAnsi="Times New Roman" w:cs="Times New Roman"/>
                <w:sz w:val="27"/>
                <w:szCs w:val="27"/>
              </w:rPr>
              <w:t>1. </w:t>
            </w:r>
            <w:r w:rsidR="001C6A81" w:rsidRPr="003A363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3A3634">
              <w:rPr>
                <w:rFonts w:ascii="Times New Roman" w:hAnsi="Times New Roman" w:cs="Times New Roman"/>
                <w:sz w:val="27"/>
                <w:szCs w:val="27"/>
              </w:rPr>
              <w:t xml:space="preserve">остановление администрации муниципального образования «Няндомский муниципальный район» </w:t>
            </w:r>
            <w:r w:rsidR="003A3634" w:rsidRPr="003A363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от 18 января 2019 года </w:t>
            </w:r>
            <w:r w:rsidRPr="003A3634">
              <w:rPr>
                <w:rFonts w:ascii="Times New Roman" w:hAnsi="Times New Roman" w:cs="Times New Roman"/>
                <w:bCs/>
                <w:sz w:val="27"/>
                <w:szCs w:val="27"/>
              </w:rPr>
              <w:t>№ 26</w:t>
            </w:r>
            <w:r w:rsidRPr="003A3634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A363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мерах по обеспечению исполнения бюджетов Няндомского муниципального района Архангельской области и муниципального образования «Няндомское» </w:t>
            </w:r>
            <w:r w:rsidR="001C6A81" w:rsidRPr="003A363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дополнить </w:t>
            </w:r>
            <w:r w:rsidR="008B6D25" w:rsidRPr="003A363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абзацем вторым подпункта в)</w:t>
            </w:r>
            <w:r w:rsidR="001C6A81" w:rsidRPr="003A363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пункт</w:t>
            </w:r>
            <w:r w:rsidR="008B6D25" w:rsidRPr="003A363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="001C6A81" w:rsidRPr="003A363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5 </w:t>
            </w:r>
            <w:r w:rsidR="003A0558" w:rsidRPr="003A3634">
              <w:rPr>
                <w:rFonts w:ascii="Times New Roman" w:hAnsi="Times New Roman" w:cs="Times New Roman"/>
                <w:sz w:val="27"/>
                <w:szCs w:val="27"/>
              </w:rPr>
              <w:t>следующего содержания:</w:t>
            </w:r>
          </w:p>
          <w:p w:rsidR="009D0C1A" w:rsidRPr="003A3634" w:rsidRDefault="009D0C1A" w:rsidP="008B6D25">
            <w:pPr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A363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8B6D25" w:rsidRPr="003A3634">
              <w:rPr>
                <w:rFonts w:ascii="Times New Roman" w:hAnsi="Times New Roman" w:cs="Times New Roman"/>
                <w:sz w:val="27"/>
                <w:szCs w:val="27"/>
              </w:rPr>
              <w:t>в размере до 30 процентов суммы соответствующего муниципального контракта, заключенного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</w:t>
            </w:r>
            <w:r w:rsidR="00180FD7" w:rsidRPr="003A363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B6D25" w:rsidRPr="003A3634">
              <w:rPr>
                <w:rFonts w:ascii="Times New Roman" w:hAnsi="Times New Roman" w:cs="Times New Roman"/>
                <w:sz w:val="27"/>
                <w:szCs w:val="27"/>
              </w:rPr>
              <w:t>но не более доведенных лимитов бюджетных обязательств на соответствующий финансовый год, предусмотренных по соответствующему объекту капитального строительства (объекту недвижимого имущества), если иное не предусмотрено законодат</w:t>
            </w:r>
            <w:r w:rsidR="00B50885" w:rsidRPr="003A3634">
              <w:rPr>
                <w:rFonts w:ascii="Times New Roman" w:hAnsi="Times New Roman" w:cs="Times New Roman"/>
                <w:sz w:val="27"/>
                <w:szCs w:val="27"/>
              </w:rPr>
              <w:t>ельством Российской Федерации, з</w:t>
            </w:r>
            <w:r w:rsidR="008B6D25" w:rsidRPr="003A3634">
              <w:rPr>
                <w:rFonts w:ascii="Times New Roman" w:hAnsi="Times New Roman" w:cs="Times New Roman"/>
                <w:sz w:val="27"/>
                <w:szCs w:val="27"/>
              </w:rPr>
              <w:t>аконодательством Архангельской области или муниципальными</w:t>
            </w:r>
            <w:proofErr w:type="gramEnd"/>
            <w:r w:rsidR="008B6D25" w:rsidRPr="003A3634">
              <w:rPr>
                <w:rFonts w:ascii="Times New Roman" w:hAnsi="Times New Roman" w:cs="Times New Roman"/>
                <w:sz w:val="27"/>
                <w:szCs w:val="27"/>
              </w:rPr>
              <w:t xml:space="preserve"> правовыми актами</w:t>
            </w:r>
            <w:proofErr w:type="gramStart"/>
            <w:r w:rsidR="00180FD7" w:rsidRPr="003A363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3A363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proofErr w:type="gramEnd"/>
            <w:r w:rsidRPr="003A363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66BBB" w:rsidRPr="003A3634" w:rsidRDefault="00B66BBB" w:rsidP="001C6A8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3A3634">
              <w:rPr>
                <w:rFonts w:ascii="Times New Roman" w:hAnsi="Times New Roman" w:cs="Times New Roman"/>
                <w:sz w:val="27"/>
                <w:szCs w:val="27"/>
              </w:rPr>
              <w:t>2. Настоящее постановление вступает в силу со дня его официального опубликования</w:t>
            </w:r>
            <w:r w:rsidR="00E63C6A" w:rsidRPr="003A363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33" w:type="dxa"/>
          </w:tcPr>
          <w:p w:rsidR="00D729AA" w:rsidRPr="003A3634" w:rsidRDefault="00D729AA" w:rsidP="00837D95">
            <w:pPr>
              <w:pStyle w:val="western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  <w:p w:rsidR="007E7FD6" w:rsidRPr="003A3634" w:rsidRDefault="007E7FD6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3A3634" w:rsidTr="005B6011">
        <w:tc>
          <w:tcPr>
            <w:tcW w:w="9464" w:type="dxa"/>
          </w:tcPr>
          <w:p w:rsidR="003A3634" w:rsidRDefault="003A3634" w:rsidP="001C6A81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3A3634" w:rsidRPr="003A3634" w:rsidRDefault="003A3634" w:rsidP="001C6A81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B508BF" w:rsidRPr="003A3634" w:rsidRDefault="00180FD7" w:rsidP="00180FD7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3A3634">
              <w:rPr>
                <w:b/>
                <w:bCs/>
                <w:color w:val="000000"/>
                <w:sz w:val="27"/>
                <w:szCs w:val="27"/>
              </w:rPr>
              <w:t>Г</w:t>
            </w:r>
            <w:r w:rsidR="00B508BF" w:rsidRPr="003A3634">
              <w:rPr>
                <w:b/>
                <w:bCs/>
                <w:color w:val="000000"/>
                <w:sz w:val="27"/>
                <w:szCs w:val="27"/>
              </w:rPr>
              <w:t>лав</w:t>
            </w:r>
            <w:r w:rsidRPr="003A3634">
              <w:rPr>
                <w:b/>
                <w:bCs/>
                <w:color w:val="000000"/>
                <w:sz w:val="27"/>
                <w:szCs w:val="27"/>
              </w:rPr>
              <w:t>а</w:t>
            </w:r>
            <w:r w:rsidR="00B508BF" w:rsidRPr="003A3634">
              <w:rPr>
                <w:b/>
                <w:bCs/>
                <w:color w:val="000000"/>
                <w:sz w:val="27"/>
                <w:szCs w:val="27"/>
              </w:rPr>
              <w:t xml:space="preserve"> Няндомского района</w:t>
            </w:r>
            <w:r w:rsidR="001C6A81" w:rsidRPr="003A3634">
              <w:rPr>
                <w:b/>
                <w:bCs/>
                <w:color w:val="000000"/>
                <w:sz w:val="27"/>
                <w:szCs w:val="27"/>
              </w:rPr>
              <w:t xml:space="preserve">                          </w:t>
            </w:r>
            <w:r w:rsidRPr="003A3634">
              <w:rPr>
                <w:b/>
                <w:bCs/>
                <w:color w:val="000000"/>
                <w:sz w:val="27"/>
                <w:szCs w:val="27"/>
              </w:rPr>
              <w:t xml:space="preserve">              </w:t>
            </w:r>
            <w:r w:rsidR="001C6A81" w:rsidRPr="003A3634">
              <w:rPr>
                <w:b/>
                <w:bCs/>
                <w:color w:val="000000"/>
                <w:sz w:val="27"/>
                <w:szCs w:val="27"/>
              </w:rPr>
              <w:t xml:space="preserve">             </w:t>
            </w:r>
            <w:r w:rsidR="007E7FD6" w:rsidRPr="003A3634">
              <w:rPr>
                <w:b/>
                <w:bCs/>
                <w:color w:val="000000"/>
                <w:sz w:val="27"/>
                <w:szCs w:val="27"/>
              </w:rPr>
              <w:t xml:space="preserve">   </w:t>
            </w:r>
            <w:r w:rsidR="003A3634">
              <w:rPr>
                <w:b/>
                <w:bCs/>
                <w:color w:val="000000"/>
                <w:sz w:val="27"/>
                <w:szCs w:val="27"/>
              </w:rPr>
              <w:t xml:space="preserve">     </w:t>
            </w:r>
            <w:r w:rsidR="007E7FD6" w:rsidRPr="003A3634">
              <w:rPr>
                <w:b/>
                <w:bCs/>
                <w:color w:val="000000"/>
                <w:sz w:val="27"/>
                <w:szCs w:val="27"/>
              </w:rPr>
              <w:t xml:space="preserve"> А.</w:t>
            </w:r>
            <w:r w:rsidRPr="003A3634">
              <w:rPr>
                <w:b/>
                <w:bCs/>
                <w:color w:val="000000"/>
                <w:sz w:val="27"/>
                <w:szCs w:val="27"/>
              </w:rPr>
              <w:t>В. Кононов</w:t>
            </w:r>
          </w:p>
        </w:tc>
        <w:tc>
          <w:tcPr>
            <w:tcW w:w="3933" w:type="dxa"/>
          </w:tcPr>
          <w:p w:rsidR="00B508BF" w:rsidRPr="003A3634" w:rsidRDefault="0092487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3A3634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3A36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1" w:bottom="1134" w:left="1701" w:header="429" w:footer="709" w:gutter="0"/>
          <w:cols w:space="708"/>
          <w:titlePg/>
          <w:docGrid w:linePitch="360"/>
        </w:sectPr>
      </w:pPr>
    </w:p>
    <w:tbl>
      <w:tblPr>
        <w:tblW w:w="9072" w:type="dxa"/>
        <w:tblInd w:w="108" w:type="dxa"/>
        <w:tblLayout w:type="fixed"/>
        <w:tblLook w:val="0000"/>
      </w:tblPr>
      <w:tblGrid>
        <w:gridCol w:w="4680"/>
        <w:gridCol w:w="1841"/>
        <w:gridCol w:w="2551"/>
      </w:tblGrid>
      <w:tr w:rsidR="00727854" w:rsidRPr="00727854" w:rsidTr="0010228F">
        <w:tc>
          <w:tcPr>
            <w:tcW w:w="4680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Исполнитель: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360"/>
        </w:trPr>
        <w:tc>
          <w:tcPr>
            <w:tcW w:w="4680" w:type="dxa"/>
          </w:tcPr>
          <w:p w:rsidR="00727854" w:rsidRPr="00727854" w:rsidRDefault="001C6A81" w:rsidP="001C6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  <w:r w:rsidR="00727854" w:rsidRPr="00727854">
              <w:rPr>
                <w:rFonts w:ascii="Times New Roman" w:hAnsi="Times New Roman" w:cs="Times New Roman"/>
                <w:sz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r w:rsidR="00727854" w:rsidRPr="00727854">
              <w:rPr>
                <w:rFonts w:ascii="Times New Roman" w:hAnsi="Times New Roman" w:cs="Times New Roman"/>
                <w:sz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="00727854" w:rsidRPr="00727854">
              <w:rPr>
                <w:rFonts w:ascii="Times New Roman" w:hAnsi="Times New Roman" w:cs="Times New Roman"/>
                <w:sz w:val="24"/>
              </w:rPr>
              <w:t xml:space="preserve"> управления финансов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Е.В.Казакова</w:t>
            </w:r>
          </w:p>
          <w:p w:rsidR="00727854" w:rsidRPr="00727854" w:rsidRDefault="00727854" w:rsidP="00494C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2022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727854" w:rsidRPr="00727854" w:rsidTr="0010228F">
        <w:trPr>
          <w:trHeight w:val="219"/>
        </w:trPr>
        <w:tc>
          <w:tcPr>
            <w:tcW w:w="4680" w:type="dxa"/>
            <w:vMerge w:val="restart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 w:val="restart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270"/>
        </w:trPr>
        <w:tc>
          <w:tcPr>
            <w:tcW w:w="4680" w:type="dxa"/>
            <w:vMerge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752"/>
        </w:trPr>
        <w:tc>
          <w:tcPr>
            <w:tcW w:w="4680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Согласовано: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10228F" w:rsidRPr="00727854" w:rsidTr="0010228F">
        <w:trPr>
          <w:trHeight w:val="360"/>
        </w:trPr>
        <w:tc>
          <w:tcPr>
            <w:tcW w:w="4680" w:type="dxa"/>
          </w:tcPr>
          <w:p w:rsidR="0010228F" w:rsidRPr="00727854" w:rsidRDefault="0010228F" w:rsidP="00102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  <w:r w:rsidRPr="00727854">
              <w:rPr>
                <w:rFonts w:ascii="Times New Roman" w:hAnsi="Times New Roman" w:cs="Times New Roman"/>
                <w:sz w:val="24"/>
              </w:rPr>
              <w:t xml:space="preserve"> управления финансов</w:t>
            </w:r>
          </w:p>
        </w:tc>
        <w:tc>
          <w:tcPr>
            <w:tcW w:w="1841" w:type="dxa"/>
          </w:tcPr>
          <w:p w:rsidR="0010228F" w:rsidRPr="00727854" w:rsidRDefault="0010228F" w:rsidP="0010228F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10228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Кононова</w:t>
            </w:r>
          </w:p>
          <w:p w:rsidR="0010228F" w:rsidRPr="00727854" w:rsidRDefault="0010228F" w:rsidP="00494C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494C96" w:rsidRPr="00494C96">
              <w:rPr>
                <w:rFonts w:ascii="Times New Roman" w:hAnsi="Times New Roman" w:cs="Times New Roman"/>
                <w:sz w:val="24"/>
              </w:rPr>
              <w:t>_________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10228F" w:rsidRPr="00727854" w:rsidTr="0010228F">
        <w:tc>
          <w:tcPr>
            <w:tcW w:w="4680" w:type="dxa"/>
          </w:tcPr>
          <w:p w:rsidR="0010228F" w:rsidRDefault="0010228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8F" w:rsidRPr="00727854" w:rsidRDefault="00393E5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70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28F" w:rsidRPr="0072785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494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28F" w:rsidRPr="007278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организационной, кадровой работы и муниципальной службы администрации</w:t>
            </w:r>
          </w:p>
          <w:p w:rsidR="0010228F" w:rsidRPr="00727854" w:rsidRDefault="0010228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0228F" w:rsidRPr="00727854" w:rsidRDefault="0010228F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727854">
            <w:pPr>
              <w:tabs>
                <w:tab w:val="center" w:pos="1066"/>
                <w:tab w:val="right" w:pos="21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7886" w:rsidRPr="00185112" w:rsidRDefault="00393E5F" w:rsidP="0072785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185112">
              <w:rPr>
                <w:rFonts w:ascii="Times New Roman" w:hAnsi="Times New Roman" w:cs="Times New Roman"/>
                <w:i/>
                <w:sz w:val="24"/>
              </w:rPr>
              <w:t>Рогозина А.А.</w:t>
            </w:r>
          </w:p>
          <w:p w:rsidR="0010228F" w:rsidRPr="00727854" w:rsidRDefault="0010228F" w:rsidP="00494C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494C96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      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10228F" w:rsidRPr="00727854" w:rsidTr="0010228F">
        <w:tc>
          <w:tcPr>
            <w:tcW w:w="4680" w:type="dxa"/>
          </w:tcPr>
          <w:p w:rsidR="0010228F" w:rsidRPr="00727854" w:rsidRDefault="0010228F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Начальник Правового управления</w:t>
            </w:r>
          </w:p>
        </w:tc>
        <w:tc>
          <w:tcPr>
            <w:tcW w:w="1841" w:type="dxa"/>
          </w:tcPr>
          <w:p w:rsidR="0010228F" w:rsidRPr="00727854" w:rsidRDefault="0010228F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Т.В.Осипова</w:t>
            </w:r>
          </w:p>
          <w:p w:rsidR="0010228F" w:rsidRPr="00727854" w:rsidRDefault="0010228F" w:rsidP="00393E5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393E5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 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</w:tbl>
    <w:p w:rsidR="00D3333B" w:rsidRPr="00727854" w:rsidRDefault="00D3333B" w:rsidP="005B60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333B" w:rsidRPr="0072785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55" w:rsidRDefault="004B5D55" w:rsidP="00D729AA">
      <w:pPr>
        <w:spacing w:line="240" w:lineRule="auto"/>
      </w:pPr>
      <w:r>
        <w:separator/>
      </w:r>
    </w:p>
  </w:endnote>
  <w:endnote w:type="continuationSeparator" w:id="0">
    <w:p w:rsidR="004B5D55" w:rsidRDefault="004B5D5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80" w:rsidRDefault="00BA73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80" w:rsidRDefault="00BA738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80" w:rsidRDefault="00BA73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55" w:rsidRDefault="004B5D55" w:rsidP="00D729AA">
      <w:pPr>
        <w:spacing w:line="240" w:lineRule="auto"/>
      </w:pPr>
      <w:r>
        <w:separator/>
      </w:r>
    </w:p>
  </w:footnote>
  <w:footnote w:type="continuationSeparator" w:id="0">
    <w:p w:rsidR="004B5D55" w:rsidRDefault="004B5D5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80" w:rsidRDefault="00BA73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680"/>
      <w:docPartObj>
        <w:docPartGallery w:val="Page Numbers (Top of Page)"/>
        <w:docPartUnique/>
      </w:docPartObj>
    </w:sdtPr>
    <w:sdtContent>
      <w:p w:rsidR="00E63C6A" w:rsidRDefault="00C65A1C">
        <w:pPr>
          <w:pStyle w:val="a7"/>
          <w:jc w:val="center"/>
        </w:pPr>
        <w:r>
          <w:fldChar w:fldCharType="begin"/>
        </w:r>
        <w:r w:rsidR="00292C8E">
          <w:instrText xml:space="preserve"> PAGE   \* MERGEFORMAT </w:instrText>
        </w:r>
        <w:r>
          <w:fldChar w:fldCharType="separate"/>
        </w:r>
        <w:r w:rsidR="00695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E6A" w:rsidRDefault="00C34E6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C34E6A" w:rsidTr="00D3333B">
      <w:tc>
        <w:tcPr>
          <w:tcW w:w="9570" w:type="dxa"/>
        </w:tcPr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680A52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C34E6A" w:rsidRPr="00680A52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C34E6A" w:rsidTr="00D3333B">
      <w:tc>
        <w:tcPr>
          <w:tcW w:w="9570" w:type="dxa"/>
        </w:tcPr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C7038B" w:rsidRDefault="00BA7380" w:rsidP="0069530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69530F">
            <w:rPr>
              <w:rFonts w:ascii="Times New Roman" w:hAnsi="Times New Roman" w:cs="Times New Roman"/>
              <w:sz w:val="28"/>
              <w:szCs w:val="28"/>
            </w:rPr>
            <w:t>30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69530F">
            <w:rPr>
              <w:rFonts w:ascii="Times New Roman" w:hAnsi="Times New Roman" w:cs="Times New Roman"/>
              <w:sz w:val="28"/>
              <w:szCs w:val="28"/>
            </w:rPr>
            <w:t xml:space="preserve"> июня</w:t>
          </w:r>
          <w:r w:rsidR="00180FD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27D86">
            <w:rPr>
              <w:rFonts w:ascii="Times New Roman" w:hAnsi="Times New Roman" w:cs="Times New Roman"/>
              <w:sz w:val="28"/>
              <w:szCs w:val="28"/>
            </w:rPr>
            <w:t>2022</w:t>
          </w:r>
          <w:r w:rsidR="00C34E6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5F320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9530F">
            <w:rPr>
              <w:rFonts w:ascii="Times New Roman" w:hAnsi="Times New Roman" w:cs="Times New Roman"/>
              <w:sz w:val="28"/>
              <w:szCs w:val="28"/>
            </w:rPr>
            <w:t>241</w:t>
          </w:r>
          <w:r w:rsidR="00180FD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34E6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C34E6A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C34E6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C34E6A" w:rsidTr="00D3333B">
      <w:tc>
        <w:tcPr>
          <w:tcW w:w="9570" w:type="dxa"/>
        </w:tcPr>
        <w:p w:rsidR="00C34E6A" w:rsidRPr="00C7038B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C34E6A" w:rsidRPr="00D729AA" w:rsidRDefault="00C34E6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ABA"/>
    <w:multiLevelType w:val="multilevel"/>
    <w:tmpl w:val="F5788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ascii="Calibri" w:hAnsi="Calibri" w:cs="Calibri" w:hint="default"/>
        <w:sz w:val="22"/>
      </w:r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FC4035"/>
    <w:multiLevelType w:val="hybridMultilevel"/>
    <w:tmpl w:val="AEACAAE2"/>
    <w:lvl w:ilvl="0" w:tplc="38F43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02B9"/>
    <w:rsid w:val="00035B69"/>
    <w:rsid w:val="00041F77"/>
    <w:rsid w:val="00045B13"/>
    <w:rsid w:val="00052074"/>
    <w:rsid w:val="00087886"/>
    <w:rsid w:val="000D5BCF"/>
    <w:rsid w:val="000F0D60"/>
    <w:rsid w:val="0010228F"/>
    <w:rsid w:val="00112896"/>
    <w:rsid w:val="00113509"/>
    <w:rsid w:val="00175124"/>
    <w:rsid w:val="00180FD7"/>
    <w:rsid w:val="00185112"/>
    <w:rsid w:val="00185C2A"/>
    <w:rsid w:val="00191EB4"/>
    <w:rsid w:val="001C6A81"/>
    <w:rsid w:val="001C7717"/>
    <w:rsid w:val="001D56FE"/>
    <w:rsid w:val="001E7CEC"/>
    <w:rsid w:val="001F3E24"/>
    <w:rsid w:val="002220DB"/>
    <w:rsid w:val="0022341B"/>
    <w:rsid w:val="00251983"/>
    <w:rsid w:val="00280018"/>
    <w:rsid w:val="00281C02"/>
    <w:rsid w:val="00282EF6"/>
    <w:rsid w:val="00283000"/>
    <w:rsid w:val="00292C8E"/>
    <w:rsid w:val="00297D07"/>
    <w:rsid w:val="002B6FD7"/>
    <w:rsid w:val="002C188B"/>
    <w:rsid w:val="002F09D7"/>
    <w:rsid w:val="00303C1D"/>
    <w:rsid w:val="00327D86"/>
    <w:rsid w:val="00334A54"/>
    <w:rsid w:val="00366970"/>
    <w:rsid w:val="0037724A"/>
    <w:rsid w:val="00393E5F"/>
    <w:rsid w:val="003A0558"/>
    <w:rsid w:val="003A3634"/>
    <w:rsid w:val="00494C96"/>
    <w:rsid w:val="004B4FEB"/>
    <w:rsid w:val="004B5D55"/>
    <w:rsid w:val="00517B33"/>
    <w:rsid w:val="00533983"/>
    <w:rsid w:val="005668CE"/>
    <w:rsid w:val="0056739B"/>
    <w:rsid w:val="005750EE"/>
    <w:rsid w:val="00581227"/>
    <w:rsid w:val="005915A0"/>
    <w:rsid w:val="005B6011"/>
    <w:rsid w:val="005E1E3B"/>
    <w:rsid w:val="005F3200"/>
    <w:rsid w:val="00607DC1"/>
    <w:rsid w:val="00613C1F"/>
    <w:rsid w:val="00650122"/>
    <w:rsid w:val="006557B6"/>
    <w:rsid w:val="00680A52"/>
    <w:rsid w:val="0069530F"/>
    <w:rsid w:val="006A2787"/>
    <w:rsid w:val="006B620A"/>
    <w:rsid w:val="0070668B"/>
    <w:rsid w:val="007217DC"/>
    <w:rsid w:val="00727854"/>
    <w:rsid w:val="0073582A"/>
    <w:rsid w:val="00757240"/>
    <w:rsid w:val="007820C9"/>
    <w:rsid w:val="007957FA"/>
    <w:rsid w:val="007A3960"/>
    <w:rsid w:val="007D6DCE"/>
    <w:rsid w:val="007E52D7"/>
    <w:rsid w:val="007E7FD6"/>
    <w:rsid w:val="008369BE"/>
    <w:rsid w:val="00837D95"/>
    <w:rsid w:val="008724EC"/>
    <w:rsid w:val="00894054"/>
    <w:rsid w:val="008B6D25"/>
    <w:rsid w:val="008C1904"/>
    <w:rsid w:val="008C2127"/>
    <w:rsid w:val="008D2546"/>
    <w:rsid w:val="008F5DAB"/>
    <w:rsid w:val="00917628"/>
    <w:rsid w:val="0092487B"/>
    <w:rsid w:val="0093072D"/>
    <w:rsid w:val="00965615"/>
    <w:rsid w:val="009D0C1A"/>
    <w:rsid w:val="009E0825"/>
    <w:rsid w:val="00A27287"/>
    <w:rsid w:val="00A61778"/>
    <w:rsid w:val="00A95A0B"/>
    <w:rsid w:val="00AA6653"/>
    <w:rsid w:val="00AC754E"/>
    <w:rsid w:val="00B14344"/>
    <w:rsid w:val="00B17B2F"/>
    <w:rsid w:val="00B24C8A"/>
    <w:rsid w:val="00B50885"/>
    <w:rsid w:val="00B508BF"/>
    <w:rsid w:val="00B66BBB"/>
    <w:rsid w:val="00BA7380"/>
    <w:rsid w:val="00BF38A8"/>
    <w:rsid w:val="00BF5941"/>
    <w:rsid w:val="00BF5C38"/>
    <w:rsid w:val="00C15C1E"/>
    <w:rsid w:val="00C34E6A"/>
    <w:rsid w:val="00C35491"/>
    <w:rsid w:val="00C3670B"/>
    <w:rsid w:val="00C46E06"/>
    <w:rsid w:val="00C65767"/>
    <w:rsid w:val="00C65A1C"/>
    <w:rsid w:val="00C7038B"/>
    <w:rsid w:val="00C8755E"/>
    <w:rsid w:val="00CB519B"/>
    <w:rsid w:val="00CC46D8"/>
    <w:rsid w:val="00D04F66"/>
    <w:rsid w:val="00D21BB2"/>
    <w:rsid w:val="00D26A13"/>
    <w:rsid w:val="00D3333B"/>
    <w:rsid w:val="00D729AA"/>
    <w:rsid w:val="00D73DF7"/>
    <w:rsid w:val="00D75E4B"/>
    <w:rsid w:val="00D8421B"/>
    <w:rsid w:val="00DA4A18"/>
    <w:rsid w:val="00DA7D61"/>
    <w:rsid w:val="00DC3D91"/>
    <w:rsid w:val="00DD6CFC"/>
    <w:rsid w:val="00DF392A"/>
    <w:rsid w:val="00E04759"/>
    <w:rsid w:val="00E36096"/>
    <w:rsid w:val="00E444E6"/>
    <w:rsid w:val="00E63C6A"/>
    <w:rsid w:val="00E81CA1"/>
    <w:rsid w:val="00E92BCF"/>
    <w:rsid w:val="00EA4310"/>
    <w:rsid w:val="00EA5E7D"/>
    <w:rsid w:val="00EE1BED"/>
    <w:rsid w:val="00EF2169"/>
    <w:rsid w:val="00F10CE9"/>
    <w:rsid w:val="00F7395E"/>
    <w:rsid w:val="00F82F88"/>
    <w:rsid w:val="00F87962"/>
    <w:rsid w:val="00FA1839"/>
    <w:rsid w:val="00FA4DAD"/>
    <w:rsid w:val="00FC755B"/>
    <w:rsid w:val="00FD00EE"/>
    <w:rsid w:val="00FD69EC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8F5DA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8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333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72785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8F5DA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8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333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72785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82D937-5A04-4946-BE8D-EE999281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2022-06-28T12:14:00Z</cp:lastPrinted>
  <dcterms:created xsi:type="dcterms:W3CDTF">2022-06-30T11:33:00Z</dcterms:created>
  <dcterms:modified xsi:type="dcterms:W3CDTF">2022-06-30T11:33:00Z</dcterms:modified>
</cp:coreProperties>
</file>