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33" w:rsidRPr="00111BA3" w:rsidRDefault="00FF4D33" w:rsidP="00FF4D33">
      <w:pPr>
        <w:spacing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11BA3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сводную бюджетную роспись бюджета «Няндомское» на 2022 год и на плановый период 2023 и 2024 годов </w:t>
      </w:r>
    </w:p>
    <w:p w:rsidR="006E0AE6" w:rsidRDefault="006E0AE6" w:rsidP="00FF4D33">
      <w:pPr>
        <w:spacing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33F75" w:rsidRPr="00033F75" w:rsidRDefault="00033F75" w:rsidP="006E0AE6">
      <w:pPr>
        <w:rPr>
          <w:rFonts w:ascii="Times New Roman" w:hAnsi="Times New Roman" w:cs="Times New Roman"/>
          <w:sz w:val="27"/>
          <w:szCs w:val="27"/>
        </w:rPr>
      </w:pPr>
    </w:p>
    <w:p w:rsidR="006E0AE6" w:rsidRPr="00033F75" w:rsidRDefault="00381162" w:rsidP="003771E4">
      <w:pPr>
        <w:ind w:firstLine="709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033F75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131415" w:rsidRPr="00033F75">
        <w:rPr>
          <w:rFonts w:ascii="Times New Roman" w:hAnsi="Times New Roman" w:cs="Times New Roman"/>
          <w:sz w:val="27"/>
          <w:szCs w:val="27"/>
        </w:rPr>
        <w:t>с пунктом 26</w:t>
      </w:r>
      <w:r w:rsidR="00033F75" w:rsidRPr="00033F75">
        <w:rPr>
          <w:rFonts w:ascii="Times New Roman" w:hAnsi="Times New Roman" w:cs="Times New Roman"/>
          <w:sz w:val="27"/>
          <w:szCs w:val="27"/>
        </w:rPr>
        <w:t xml:space="preserve"> статьи 10 Федерального закона </w:t>
      </w:r>
      <w:r w:rsidR="00131415" w:rsidRPr="00033F75">
        <w:rPr>
          <w:rFonts w:ascii="Times New Roman" w:hAnsi="Times New Roman" w:cs="Times New Roman"/>
          <w:sz w:val="27"/>
          <w:szCs w:val="27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>
        <w:rPr>
          <w:rFonts w:ascii="Times New Roman" w:hAnsi="Times New Roman" w:cs="Times New Roman"/>
          <w:sz w:val="27"/>
          <w:szCs w:val="27"/>
        </w:rPr>
        <w:t>,</w:t>
      </w:r>
      <w:r w:rsidR="00131415" w:rsidRPr="00033F75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пунктом 8 статьи 5, статьей 32 </w:t>
      </w:r>
      <w:r w:rsidRPr="00033F75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033F75">
        <w:rPr>
          <w:rFonts w:ascii="Times New Roman" w:hAnsi="Times New Roman" w:cs="Times New Roman"/>
          <w:sz w:val="27"/>
          <w:szCs w:val="27"/>
        </w:rPr>
        <w:t>Няндомского района</w:t>
      </w:r>
      <w:r w:rsidR="006927E1" w:rsidRPr="00033F75">
        <w:rPr>
          <w:rFonts w:ascii="Times New Roman" w:hAnsi="Times New Roman" w:cs="Times New Roman"/>
          <w:sz w:val="27"/>
          <w:szCs w:val="27"/>
        </w:rPr>
        <w:t>,</w:t>
      </w:r>
      <w:r w:rsidR="006927E1" w:rsidRPr="00033F75">
        <w:rPr>
          <w:sz w:val="27"/>
          <w:szCs w:val="27"/>
        </w:rPr>
        <w:t xml:space="preserve"> </w:t>
      </w:r>
      <w:r w:rsidR="006927E1" w:rsidRPr="00033F75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района Архангельской области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gramStart"/>
      <w:r w:rsidR="006927E1" w:rsidRPr="00033F75">
        <w:rPr>
          <w:rFonts w:ascii="Times New Roman" w:hAnsi="Times New Roman" w:cs="Times New Roman"/>
          <w:b/>
          <w:sz w:val="27"/>
          <w:szCs w:val="27"/>
        </w:rPr>
        <w:t>н</w:t>
      </w:r>
      <w:proofErr w:type="gramEnd"/>
      <w:r w:rsidR="006927E1" w:rsidRPr="00033F75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bookmarkEnd w:id="0"/>
    <w:p w:rsidR="00FF4D33" w:rsidRPr="00226EED" w:rsidRDefault="00FF4D33" w:rsidP="003771E4">
      <w:pPr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226EED">
        <w:rPr>
          <w:rFonts w:ascii="Times New Roman" w:hAnsi="Times New Roman" w:cs="Times New Roman"/>
          <w:sz w:val="27"/>
          <w:szCs w:val="27"/>
        </w:rPr>
        <w:t xml:space="preserve">1. Управлению финансов администрации Няндомского муниципального района Архангельской области </w:t>
      </w:r>
      <w:r w:rsidRPr="00226EED">
        <w:rPr>
          <w:rFonts w:ascii="Times New Roman" w:eastAsia="Calibri" w:hAnsi="Times New Roman" w:cs="Times New Roman"/>
          <w:sz w:val="27"/>
          <w:szCs w:val="27"/>
        </w:rPr>
        <w:t>внести в сводную бюджетную роспись бюджета «Няндомское» на 2022 год и на плановый период 2023 и 2024 годов следующие изменения на 2022 год:</w:t>
      </w:r>
    </w:p>
    <w:p w:rsidR="00C44231" w:rsidRPr="003771E4" w:rsidRDefault="008204A2" w:rsidP="003771E4">
      <w:pPr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C44231">
        <w:rPr>
          <w:rFonts w:ascii="Times New Roman" w:eastAsia="Calibri" w:hAnsi="Times New Roman" w:cs="Times New Roman"/>
          <w:sz w:val="27"/>
          <w:szCs w:val="27"/>
        </w:rPr>
        <w:t xml:space="preserve">.1. </w:t>
      </w:r>
      <w:r w:rsidR="003771E4">
        <w:rPr>
          <w:rFonts w:ascii="Times New Roman" w:eastAsia="Calibri" w:hAnsi="Times New Roman" w:cs="Times New Roman"/>
          <w:sz w:val="27"/>
          <w:szCs w:val="27"/>
        </w:rPr>
        <w:t>осуществить возврат</w:t>
      </w:r>
      <w:r w:rsidR="00FF4D33" w:rsidRPr="00226EED">
        <w:rPr>
          <w:rFonts w:ascii="Times New Roman" w:eastAsia="Calibri" w:hAnsi="Times New Roman" w:cs="Times New Roman"/>
          <w:sz w:val="27"/>
          <w:szCs w:val="27"/>
        </w:rPr>
        <w:t xml:space="preserve"> бюджетных ассигнований </w:t>
      </w:r>
      <w:r w:rsidR="00FF4D33" w:rsidRPr="00226EED">
        <w:rPr>
          <w:rFonts w:ascii="Times New Roman" w:hAnsi="Times New Roman" w:cs="Times New Roman"/>
          <w:sz w:val="27"/>
          <w:szCs w:val="27"/>
        </w:rPr>
        <w:t>Управления строительства, архитектуры и ЖКХ администрации Няндомского муниципального района Архангельской области в рамках муниципальной программы</w:t>
      </w:r>
      <w:r w:rsidR="00FF4D33">
        <w:rPr>
          <w:rFonts w:ascii="Times New Roman" w:hAnsi="Times New Roman" w:cs="Times New Roman"/>
          <w:sz w:val="27"/>
          <w:szCs w:val="27"/>
        </w:rPr>
        <w:t xml:space="preserve"> </w:t>
      </w:r>
      <w:r w:rsidR="00FF4D33" w:rsidRPr="00226EED">
        <w:rPr>
          <w:rFonts w:ascii="Times New Roman" w:hAnsi="Times New Roman" w:cs="Times New Roman"/>
          <w:sz w:val="27"/>
          <w:szCs w:val="27"/>
        </w:rPr>
        <w:t>«Комплексное развитие сельских территорий Няндомского района»</w:t>
      </w:r>
      <w:r w:rsidR="00FF4D33" w:rsidRPr="00FF4D33">
        <w:rPr>
          <w:rFonts w:ascii="Times New Roman" w:hAnsi="Times New Roman" w:cs="Times New Roman"/>
          <w:sz w:val="27"/>
          <w:szCs w:val="27"/>
        </w:rPr>
        <w:t xml:space="preserve"> </w:t>
      </w:r>
      <w:r w:rsidR="00FF4D33" w:rsidRPr="00033F75">
        <w:rPr>
          <w:rFonts w:ascii="Times New Roman" w:hAnsi="Times New Roman" w:cs="Times New Roman"/>
          <w:sz w:val="27"/>
          <w:szCs w:val="27"/>
        </w:rPr>
        <w:t>на</w:t>
      </w:r>
      <w:r w:rsidR="00FF4D33">
        <w:rPr>
          <w:rFonts w:ascii="Times New Roman" w:hAnsi="Times New Roman" w:cs="Times New Roman"/>
          <w:sz w:val="27"/>
          <w:szCs w:val="27"/>
        </w:rPr>
        <w:t xml:space="preserve"> сумму 100 000</w:t>
      </w:r>
      <w:r w:rsidR="00FF4D33" w:rsidRPr="00033F75">
        <w:rPr>
          <w:rFonts w:ascii="Times New Roman" w:hAnsi="Times New Roman" w:cs="Times New Roman"/>
          <w:sz w:val="27"/>
          <w:szCs w:val="27"/>
        </w:rPr>
        <w:t xml:space="preserve">,00 рублей по мероприятию на </w:t>
      </w:r>
      <w:r w:rsidR="00FF4D33">
        <w:rPr>
          <w:rFonts w:ascii="Times New Roman" w:hAnsi="Times New Roman" w:cs="Times New Roman"/>
          <w:sz w:val="27"/>
          <w:szCs w:val="27"/>
        </w:rPr>
        <w:t xml:space="preserve">проведение проверки достоверности сметной стоимости объектов уличного освещения                          </w:t>
      </w:r>
      <w:r w:rsidR="00FF4D33" w:rsidRPr="00033F75">
        <w:rPr>
          <w:rFonts w:ascii="Times New Roman" w:hAnsi="Times New Roman" w:cs="Times New Roman"/>
          <w:sz w:val="27"/>
          <w:szCs w:val="27"/>
        </w:rPr>
        <w:t xml:space="preserve">(КБК 909 0503 </w:t>
      </w:r>
      <w:r w:rsidR="00FF4D33" w:rsidRPr="003771E4">
        <w:rPr>
          <w:rFonts w:ascii="Times New Roman" w:hAnsi="Times New Roman" w:cs="Times New Roman"/>
          <w:sz w:val="27"/>
          <w:szCs w:val="27"/>
        </w:rPr>
        <w:t>24200</w:t>
      </w:r>
      <w:r w:rsidR="00FF4D33" w:rsidRPr="003771E4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FF4D33" w:rsidRPr="003771E4">
        <w:rPr>
          <w:rFonts w:ascii="Times New Roman" w:hAnsi="Times New Roman" w:cs="Times New Roman"/>
          <w:sz w:val="27"/>
          <w:szCs w:val="27"/>
        </w:rPr>
        <w:t>5760 244)</w:t>
      </w:r>
      <w:r w:rsidR="003771E4">
        <w:rPr>
          <w:rFonts w:ascii="Times New Roman" w:hAnsi="Times New Roman" w:cs="Times New Roman"/>
          <w:sz w:val="27"/>
          <w:szCs w:val="27"/>
        </w:rPr>
        <w:t>,</w:t>
      </w:r>
      <w:r w:rsidR="003771E4" w:rsidRPr="003771E4">
        <w:rPr>
          <w:rFonts w:ascii="Times New Roman" w:hAnsi="Times New Roman" w:cs="Times New Roman"/>
          <w:sz w:val="27"/>
          <w:szCs w:val="27"/>
        </w:rPr>
        <w:t xml:space="preserve"> перенесенных постановлением администрации Няндомского муниципального района Архангельской области </w:t>
      </w:r>
      <w:r w:rsidR="003771E4">
        <w:rPr>
          <w:rFonts w:ascii="Times New Roman" w:hAnsi="Times New Roman" w:cs="Times New Roman"/>
          <w:sz w:val="27"/>
          <w:szCs w:val="27"/>
        </w:rPr>
        <w:br/>
      </w:r>
      <w:r w:rsidR="003771E4" w:rsidRPr="003771E4">
        <w:rPr>
          <w:rFonts w:ascii="Times New Roman" w:hAnsi="Times New Roman" w:cs="Times New Roman"/>
          <w:sz w:val="27"/>
          <w:szCs w:val="27"/>
        </w:rPr>
        <w:t>от 19 июля 2022</w:t>
      </w:r>
      <w:r w:rsidR="003771E4">
        <w:rPr>
          <w:rFonts w:ascii="Times New Roman" w:hAnsi="Times New Roman" w:cs="Times New Roman"/>
          <w:sz w:val="27"/>
          <w:szCs w:val="27"/>
        </w:rPr>
        <w:t xml:space="preserve"> года</w:t>
      </w:r>
      <w:proofErr w:type="gramEnd"/>
      <w:r w:rsidR="003771E4" w:rsidRPr="003771E4">
        <w:rPr>
          <w:rFonts w:ascii="Times New Roman" w:hAnsi="Times New Roman" w:cs="Times New Roman"/>
          <w:sz w:val="27"/>
          <w:szCs w:val="27"/>
        </w:rPr>
        <w:t xml:space="preserve"> № 253-па «</w:t>
      </w:r>
      <w:r w:rsidR="003771E4" w:rsidRPr="003771E4">
        <w:rPr>
          <w:rFonts w:ascii="Times New Roman" w:eastAsia="Calibri" w:hAnsi="Times New Roman" w:cs="Times New Roman"/>
          <w:sz w:val="27"/>
          <w:szCs w:val="27"/>
        </w:rPr>
        <w:t>О внесении изменений в сводную бюджетную роспись бюджета «Няндомское» на 2022 год и на плановый период 2023 и 2024 годов»</w:t>
      </w:r>
      <w:r w:rsidR="003771E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3771E4" w:rsidRPr="00033F75">
        <w:rPr>
          <w:rFonts w:ascii="Times New Roman" w:hAnsi="Times New Roman" w:cs="Times New Roman"/>
          <w:sz w:val="27"/>
          <w:szCs w:val="27"/>
        </w:rPr>
        <w:t>в рамках муниципальной программы «</w:t>
      </w:r>
      <w:r w:rsidR="003771E4">
        <w:rPr>
          <w:rFonts w:ascii="Times New Roman" w:hAnsi="Times New Roman" w:cs="Times New Roman"/>
          <w:sz w:val="27"/>
          <w:szCs w:val="27"/>
        </w:rPr>
        <w:t>Развитие жилищного строительства</w:t>
      </w:r>
      <w:r w:rsidR="003771E4" w:rsidRPr="00033F75">
        <w:rPr>
          <w:rFonts w:ascii="Times New Roman" w:hAnsi="Times New Roman" w:cs="Times New Roman"/>
          <w:sz w:val="27"/>
          <w:szCs w:val="27"/>
        </w:rPr>
        <w:t xml:space="preserve"> Няндомского района» </w:t>
      </w:r>
      <w:r w:rsidR="003771E4">
        <w:rPr>
          <w:rFonts w:ascii="Times New Roman" w:hAnsi="Times New Roman" w:cs="Times New Roman"/>
          <w:sz w:val="27"/>
          <w:szCs w:val="27"/>
        </w:rPr>
        <w:t>на</w:t>
      </w:r>
      <w:r w:rsidR="003771E4" w:rsidRPr="00033F75">
        <w:rPr>
          <w:rFonts w:ascii="Times New Roman" w:hAnsi="Times New Roman" w:cs="Times New Roman"/>
          <w:sz w:val="27"/>
          <w:szCs w:val="27"/>
        </w:rPr>
        <w:t xml:space="preserve"> мероприяти</w:t>
      </w:r>
      <w:r w:rsidR="003771E4">
        <w:rPr>
          <w:rFonts w:ascii="Times New Roman" w:hAnsi="Times New Roman" w:cs="Times New Roman"/>
          <w:sz w:val="27"/>
          <w:szCs w:val="27"/>
        </w:rPr>
        <w:t>я</w:t>
      </w:r>
      <w:r w:rsidR="003771E4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3771E4">
        <w:rPr>
          <w:rFonts w:ascii="Times New Roman" w:hAnsi="Times New Roman" w:cs="Times New Roman"/>
          <w:sz w:val="27"/>
          <w:szCs w:val="27"/>
        </w:rPr>
        <w:t xml:space="preserve">– разработка </w:t>
      </w:r>
      <w:r w:rsidR="003771E4">
        <w:rPr>
          <w:rFonts w:ascii="Times New Roman" w:hAnsi="Times New Roman" w:cs="Times New Roman"/>
          <w:sz w:val="27"/>
          <w:szCs w:val="27"/>
        </w:rPr>
        <w:lastRenderedPageBreak/>
        <w:t xml:space="preserve">документации по планировке территории по улице Лиственная </w:t>
      </w:r>
      <w:r w:rsidR="003771E4" w:rsidRPr="00033F75">
        <w:rPr>
          <w:rFonts w:ascii="Times New Roman" w:hAnsi="Times New Roman" w:cs="Times New Roman"/>
          <w:sz w:val="27"/>
          <w:szCs w:val="27"/>
        </w:rPr>
        <w:t>(КБК 909 050</w:t>
      </w:r>
      <w:r w:rsidR="003771E4">
        <w:rPr>
          <w:rFonts w:ascii="Times New Roman" w:hAnsi="Times New Roman" w:cs="Times New Roman"/>
          <w:sz w:val="27"/>
          <w:szCs w:val="27"/>
        </w:rPr>
        <w:t>1</w:t>
      </w:r>
      <w:r w:rsidR="003771E4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3771E4">
        <w:rPr>
          <w:rFonts w:ascii="Times New Roman" w:hAnsi="Times New Roman" w:cs="Times New Roman"/>
          <w:sz w:val="27"/>
          <w:szCs w:val="27"/>
        </w:rPr>
        <w:t>0600083560</w:t>
      </w:r>
      <w:r w:rsidR="003771E4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3771E4">
        <w:rPr>
          <w:rFonts w:ascii="Times New Roman" w:hAnsi="Times New Roman" w:cs="Times New Roman"/>
          <w:sz w:val="27"/>
          <w:szCs w:val="27"/>
        </w:rPr>
        <w:t>244</w:t>
      </w:r>
      <w:r w:rsidR="00433D05">
        <w:rPr>
          <w:rFonts w:ascii="Times New Roman" w:hAnsi="Times New Roman" w:cs="Times New Roman"/>
          <w:sz w:val="27"/>
          <w:szCs w:val="27"/>
        </w:rPr>
        <w:t>);</w:t>
      </w:r>
    </w:p>
    <w:p w:rsidR="00CE12C3" w:rsidRPr="00226EED" w:rsidRDefault="00CE12C3" w:rsidP="003771E4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 w:rsidRPr="00226EED">
        <w:rPr>
          <w:rFonts w:ascii="Times New Roman" w:eastAsia="Calibri" w:hAnsi="Times New Roman" w:cs="Times New Roman"/>
          <w:sz w:val="27"/>
          <w:szCs w:val="27"/>
        </w:rPr>
        <w:t xml:space="preserve">уменьшить объем бюджетных ассигнований </w:t>
      </w:r>
      <w:r w:rsidRPr="00226EED">
        <w:rPr>
          <w:rFonts w:ascii="Times New Roman" w:hAnsi="Times New Roman" w:cs="Times New Roman"/>
          <w:sz w:val="27"/>
          <w:szCs w:val="27"/>
        </w:rPr>
        <w:t xml:space="preserve">Управления строительства, архитектуры и ЖКХ администрации Няндомского муниципального района Архангельской области в рамках муниципальной программы «Развитие жилищного строительства Няндомского района» на сумму </w:t>
      </w:r>
      <w:r w:rsidR="003771E4">
        <w:rPr>
          <w:rFonts w:ascii="Times New Roman" w:hAnsi="Times New Roman" w:cs="Times New Roman"/>
          <w:sz w:val="27"/>
          <w:szCs w:val="27"/>
        </w:rPr>
        <w:t>1</w:t>
      </w:r>
      <w:r w:rsidRPr="00226EED">
        <w:rPr>
          <w:rFonts w:ascii="Times New Roman" w:hAnsi="Times New Roman" w:cs="Times New Roman"/>
          <w:sz w:val="27"/>
          <w:szCs w:val="27"/>
        </w:rPr>
        <w:t>28 003,52 рублей по мероприятию – разработка документации по планировке территории по улиц</w:t>
      </w:r>
      <w:r w:rsidR="003771E4">
        <w:rPr>
          <w:rFonts w:ascii="Times New Roman" w:hAnsi="Times New Roman" w:cs="Times New Roman"/>
          <w:sz w:val="27"/>
          <w:szCs w:val="27"/>
        </w:rPr>
        <w:t>ам</w:t>
      </w:r>
      <w:r w:rsidRPr="00226EED">
        <w:rPr>
          <w:rFonts w:ascii="Times New Roman" w:hAnsi="Times New Roman" w:cs="Times New Roman"/>
          <w:sz w:val="27"/>
          <w:szCs w:val="27"/>
        </w:rPr>
        <w:t xml:space="preserve"> Холмогорская</w:t>
      </w:r>
      <w:r w:rsidR="003771E4">
        <w:rPr>
          <w:rFonts w:ascii="Times New Roman" w:hAnsi="Times New Roman" w:cs="Times New Roman"/>
          <w:sz w:val="27"/>
          <w:szCs w:val="27"/>
        </w:rPr>
        <w:t xml:space="preserve"> и Лиственная</w:t>
      </w:r>
      <w:r w:rsidRPr="00226EED">
        <w:rPr>
          <w:rFonts w:ascii="Times New Roman" w:hAnsi="Times New Roman" w:cs="Times New Roman"/>
          <w:sz w:val="27"/>
          <w:szCs w:val="27"/>
        </w:rPr>
        <w:t xml:space="preserve"> (КБК 909 0501 0600083560 244);</w:t>
      </w:r>
    </w:p>
    <w:p w:rsidR="00C44231" w:rsidRPr="001F448D" w:rsidRDefault="00CE12C3" w:rsidP="003771E4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1.3</w:t>
      </w:r>
      <w:r w:rsidR="00C44231">
        <w:rPr>
          <w:rFonts w:ascii="Times New Roman" w:eastAsia="Calibri" w:hAnsi="Times New Roman" w:cs="Times New Roman"/>
          <w:sz w:val="27"/>
          <w:szCs w:val="27"/>
        </w:rPr>
        <w:t>.</w:t>
      </w:r>
      <w:r w:rsidR="00C44231">
        <w:rPr>
          <w:rFonts w:ascii="Times New Roman" w:hAnsi="Times New Roman" w:cs="Times New Roman"/>
          <w:sz w:val="27"/>
          <w:szCs w:val="27"/>
        </w:rPr>
        <w:t xml:space="preserve"> </w:t>
      </w:r>
      <w:r w:rsidR="00C44231" w:rsidRPr="00033F75">
        <w:rPr>
          <w:rFonts w:ascii="Times New Roman" w:hAnsi="Times New Roman" w:cs="Times New Roman"/>
          <w:sz w:val="27"/>
          <w:szCs w:val="27"/>
        </w:rPr>
        <w:t xml:space="preserve">увеличить </w:t>
      </w:r>
      <w:r w:rsidR="00C44231" w:rsidRPr="00033F75">
        <w:rPr>
          <w:rFonts w:ascii="Times New Roman" w:eastAsia="Calibri" w:hAnsi="Times New Roman" w:cs="Times New Roman"/>
          <w:sz w:val="27"/>
          <w:szCs w:val="27"/>
        </w:rPr>
        <w:t xml:space="preserve">объем бюджетных ассигнований </w:t>
      </w:r>
      <w:r w:rsidR="00C44231" w:rsidRPr="00033F75">
        <w:rPr>
          <w:rFonts w:ascii="Times New Roman" w:hAnsi="Times New Roman" w:cs="Times New Roman"/>
          <w:sz w:val="27"/>
          <w:szCs w:val="27"/>
        </w:rPr>
        <w:t>Управлению строительства, архитектуры и ЖКХ администрации Няндомского муниципального района Архангельской области в рамках муниципальной программы «</w:t>
      </w:r>
      <w:r w:rsidR="00C44231" w:rsidRPr="004C622A">
        <w:rPr>
          <w:rFonts w:ascii="Times New Roman" w:hAnsi="Times New Roman" w:cs="Times New Roman"/>
          <w:sz w:val="27"/>
          <w:szCs w:val="27"/>
        </w:rPr>
        <w:t>Комплексное развитие сельских территорий Няндомского района»</w:t>
      </w:r>
      <w:r w:rsidR="00C44231">
        <w:rPr>
          <w:rFonts w:ascii="Times New Roman" w:hAnsi="Times New Roman" w:cs="Times New Roman"/>
          <w:sz w:val="27"/>
          <w:szCs w:val="27"/>
        </w:rPr>
        <w:t xml:space="preserve"> </w:t>
      </w:r>
      <w:r w:rsidR="00C44231" w:rsidRPr="00033F75">
        <w:rPr>
          <w:rFonts w:ascii="Times New Roman" w:hAnsi="Times New Roman" w:cs="Times New Roman"/>
          <w:sz w:val="27"/>
          <w:szCs w:val="27"/>
        </w:rPr>
        <w:t xml:space="preserve"> на</w:t>
      </w:r>
      <w:r w:rsidR="00C44231">
        <w:rPr>
          <w:rFonts w:ascii="Times New Roman" w:hAnsi="Times New Roman" w:cs="Times New Roman"/>
          <w:sz w:val="27"/>
          <w:szCs w:val="27"/>
        </w:rPr>
        <w:t xml:space="preserve"> сумму </w:t>
      </w:r>
      <w:r>
        <w:rPr>
          <w:rFonts w:ascii="Times New Roman" w:hAnsi="Times New Roman" w:cs="Times New Roman"/>
          <w:sz w:val="27"/>
          <w:szCs w:val="27"/>
        </w:rPr>
        <w:t>128 003,52</w:t>
      </w:r>
      <w:r w:rsidR="00C44231" w:rsidRPr="00033F75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A8082C" w:rsidRPr="00C44231">
        <w:rPr>
          <w:rFonts w:ascii="Times New Roman" w:hAnsi="Times New Roman" w:cs="Times New Roman"/>
          <w:sz w:val="27"/>
          <w:szCs w:val="27"/>
        </w:rPr>
        <w:t xml:space="preserve">на проведение государственной экспертизы проектной документации сметной стоимости объектов </w:t>
      </w:r>
      <w:r w:rsidR="00A8082C">
        <w:rPr>
          <w:rFonts w:ascii="Times New Roman" w:hAnsi="Times New Roman" w:cs="Times New Roman"/>
          <w:sz w:val="27"/>
          <w:szCs w:val="27"/>
        </w:rPr>
        <w:t xml:space="preserve">«Строительство линейного объектов»: </w:t>
      </w:r>
      <w:proofErr w:type="gramStart"/>
      <w:r w:rsidR="00A8082C">
        <w:rPr>
          <w:rFonts w:ascii="Times New Roman" w:hAnsi="Times New Roman" w:cs="Times New Roman"/>
          <w:sz w:val="27"/>
          <w:szCs w:val="27"/>
        </w:rPr>
        <w:t>«Уличное освещение ж/д ст.</w:t>
      </w:r>
      <w:r w:rsidR="008204A2">
        <w:rPr>
          <w:rFonts w:ascii="Times New Roman" w:hAnsi="Times New Roman" w:cs="Times New Roman"/>
          <w:sz w:val="27"/>
          <w:szCs w:val="27"/>
        </w:rPr>
        <w:t xml:space="preserve"> </w:t>
      </w:r>
      <w:r w:rsidR="00A8082C">
        <w:rPr>
          <w:rFonts w:ascii="Times New Roman" w:hAnsi="Times New Roman" w:cs="Times New Roman"/>
          <w:sz w:val="27"/>
          <w:szCs w:val="27"/>
        </w:rPr>
        <w:t xml:space="preserve">Полоха с применением энергосберегающих технологий», «Уличное освещение ж/д ст. Зеленый с применением энергосберегающих технологий», «Уличное освещение ж/д ст. Бурачиха с применением энергосберегающих </w:t>
      </w:r>
      <w:r w:rsidR="008204A2">
        <w:rPr>
          <w:rFonts w:ascii="Times New Roman" w:hAnsi="Times New Roman" w:cs="Times New Roman"/>
          <w:sz w:val="27"/>
          <w:szCs w:val="27"/>
        </w:rPr>
        <w:t xml:space="preserve">технологий», «Уличное освещение </w:t>
      </w:r>
      <w:r w:rsidR="00A8082C">
        <w:rPr>
          <w:rFonts w:ascii="Times New Roman" w:hAnsi="Times New Roman" w:cs="Times New Roman"/>
          <w:sz w:val="27"/>
          <w:szCs w:val="27"/>
        </w:rPr>
        <w:t>дер. Андреевская с применением энергосберегающих технологий», «Уличное освещение пос.</w:t>
      </w:r>
      <w:r w:rsidR="008204A2">
        <w:rPr>
          <w:rFonts w:ascii="Times New Roman" w:hAnsi="Times New Roman" w:cs="Times New Roman"/>
          <w:sz w:val="27"/>
          <w:szCs w:val="27"/>
        </w:rPr>
        <w:t xml:space="preserve"> </w:t>
      </w:r>
      <w:r w:rsidR="00A8082C">
        <w:rPr>
          <w:rFonts w:ascii="Times New Roman" w:hAnsi="Times New Roman" w:cs="Times New Roman"/>
          <w:sz w:val="27"/>
          <w:szCs w:val="27"/>
        </w:rPr>
        <w:t>Шестиозерский с применением энергосберегающих технологий»</w:t>
      </w:r>
      <w:r w:rsidR="00A8082C" w:rsidRPr="00033F75">
        <w:rPr>
          <w:rFonts w:ascii="Times New Roman" w:hAnsi="Times New Roman" w:cs="Times New Roman"/>
          <w:sz w:val="27"/>
          <w:szCs w:val="27"/>
        </w:rPr>
        <w:t xml:space="preserve"> </w:t>
      </w:r>
      <w:r w:rsidR="00C44231" w:rsidRPr="00033F75">
        <w:rPr>
          <w:rFonts w:ascii="Times New Roman" w:hAnsi="Times New Roman" w:cs="Times New Roman"/>
          <w:sz w:val="27"/>
          <w:szCs w:val="27"/>
        </w:rPr>
        <w:t xml:space="preserve">(КБК 909 0503 </w:t>
      </w:r>
      <w:r w:rsidR="00C44231" w:rsidRPr="00C44231">
        <w:rPr>
          <w:rFonts w:ascii="Times New Roman" w:hAnsi="Times New Roman" w:cs="Times New Roman"/>
          <w:sz w:val="27"/>
          <w:szCs w:val="27"/>
        </w:rPr>
        <w:t>2420080990 414</w:t>
      </w:r>
      <w:r w:rsidR="00C44231" w:rsidRPr="00033F75">
        <w:rPr>
          <w:rFonts w:ascii="Times New Roman" w:hAnsi="Times New Roman" w:cs="Times New Roman"/>
          <w:sz w:val="27"/>
          <w:szCs w:val="27"/>
        </w:rPr>
        <w:t>).</w:t>
      </w:r>
      <w:proofErr w:type="gramEnd"/>
    </w:p>
    <w:p w:rsidR="002A2BD9" w:rsidRPr="00033F75" w:rsidRDefault="00FF4D33" w:rsidP="003771E4">
      <w:pPr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6E0AE6" w:rsidRPr="00033F75">
        <w:rPr>
          <w:rFonts w:ascii="Times New Roman" w:hAnsi="Times New Roman" w:cs="Times New Roman"/>
          <w:sz w:val="27"/>
          <w:szCs w:val="27"/>
        </w:rPr>
        <w:t>.</w:t>
      </w:r>
      <w:r w:rsidR="00033F75" w:rsidRPr="00033F75">
        <w:rPr>
          <w:rFonts w:ascii="Times New Roman" w:hAnsi="Times New Roman" w:cs="Times New Roman"/>
          <w:sz w:val="27"/>
          <w:szCs w:val="27"/>
        </w:rPr>
        <w:t> </w:t>
      </w:r>
      <w:r w:rsidR="002A2BD9" w:rsidRPr="00033F75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033F75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:rsidR="008204A2" w:rsidRDefault="008204A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  <w:p w:rsidR="008204A2" w:rsidRPr="00033F75" w:rsidRDefault="008204A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:rsidR="00D729AA" w:rsidRPr="00033F75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033F75" w:rsidTr="00B508BF">
        <w:tc>
          <w:tcPr>
            <w:tcW w:w="5637" w:type="dxa"/>
          </w:tcPr>
          <w:p w:rsidR="00B508BF" w:rsidRPr="00033F7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Глава Няндомского района</w:t>
            </w:r>
            <w:r w:rsidRPr="00033F75">
              <w:rPr>
                <w:b/>
                <w:bCs/>
                <w:color w:val="000000"/>
                <w:sz w:val="27"/>
                <w:szCs w:val="27"/>
              </w:rPr>
              <w:tab/>
            </w:r>
          </w:p>
        </w:tc>
        <w:tc>
          <w:tcPr>
            <w:tcW w:w="3933" w:type="dxa"/>
          </w:tcPr>
          <w:p w:rsidR="00B508BF" w:rsidRPr="00033F75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7"/>
                <w:szCs w:val="27"/>
              </w:rPr>
            </w:pPr>
            <w:r w:rsidRPr="00033F75">
              <w:rPr>
                <w:b/>
                <w:bCs/>
                <w:color w:val="000000"/>
                <w:sz w:val="27"/>
                <w:szCs w:val="27"/>
              </w:rPr>
              <w:t>А.В. 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80"/>
        <w:gridCol w:w="2408"/>
        <w:gridCol w:w="2693"/>
      </w:tblGrid>
      <w:tr w:rsidR="001719D6" w:rsidRPr="002A2BD9" w:rsidTr="00E66A85">
        <w:tc>
          <w:tcPr>
            <w:tcW w:w="4680" w:type="dxa"/>
          </w:tcPr>
          <w:p w:rsidR="001719D6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C44231" w:rsidRDefault="00C44231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204A2" w:rsidRDefault="008204A2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204A2" w:rsidRDefault="008204A2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204A2" w:rsidRDefault="008204A2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719D6" w:rsidRPr="002A2BD9" w:rsidRDefault="00433D05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</w:t>
            </w:r>
            <w:r w:rsidR="001719D6"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полнитель: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19D6" w:rsidRPr="002A2BD9" w:rsidTr="00E66A85">
        <w:trPr>
          <w:trHeight w:val="360"/>
        </w:trPr>
        <w:tc>
          <w:tcPr>
            <w:tcW w:w="4680" w:type="dxa"/>
          </w:tcPr>
          <w:p w:rsidR="001719D6" w:rsidRPr="002A2BD9" w:rsidRDefault="00C44231" w:rsidP="00C442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B421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ым</w:t>
            </w:r>
            <w:r w:rsidR="00B421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  <w:r w:rsidR="001719D6"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44231" w:rsidRPr="002A2BD9" w:rsidRDefault="00C44231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1719D6" w:rsidRPr="002A2BD9" w:rsidRDefault="00C44231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  <w:r w:rsidR="001719D6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</w:t>
            </w:r>
            <w:r w:rsidR="001719D6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 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  <w:p w:rsidR="00D47273" w:rsidRPr="00D47273" w:rsidRDefault="00C44231" w:rsidP="00C4423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="00D472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ачальник Управления финансов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C44231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</w:p>
          <w:p w:rsidR="00D47273" w:rsidRPr="002A2BD9" w:rsidRDefault="00D47273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C4423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D47273" w:rsidRPr="002A2BD9" w:rsidRDefault="00D47273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C4423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Т.В.Осипова </w:t>
            </w:r>
          </w:p>
          <w:p w:rsidR="00D47273" w:rsidRPr="002A2BD9" w:rsidRDefault="00D47273" w:rsidP="00C4423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C4423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</w:tbl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  <w:sectPr w:rsidR="001719D6" w:rsidSect="00C44231">
          <w:headerReference w:type="default" r:id="rId8"/>
          <w:headerReference w:type="first" r:id="rId9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AA" w:rsidRDefault="00362AAA" w:rsidP="00D729AA">
      <w:pPr>
        <w:spacing w:line="240" w:lineRule="auto"/>
      </w:pPr>
      <w:r>
        <w:separator/>
      </w:r>
    </w:p>
  </w:endnote>
  <w:endnote w:type="continuationSeparator" w:id="0">
    <w:p w:rsidR="00362AAA" w:rsidRDefault="00362AA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AA" w:rsidRDefault="00362AAA" w:rsidP="00D729AA">
      <w:pPr>
        <w:spacing w:line="240" w:lineRule="auto"/>
      </w:pPr>
      <w:r>
        <w:separator/>
      </w:r>
    </w:p>
  </w:footnote>
  <w:footnote w:type="continuationSeparator" w:id="0">
    <w:p w:rsidR="00362AAA" w:rsidRDefault="00362AA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4514A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4514AB">
            <w:rPr>
              <w:rFonts w:ascii="Times New Roman" w:hAnsi="Times New Roman" w:cs="Times New Roman"/>
              <w:sz w:val="28"/>
              <w:szCs w:val="28"/>
            </w:rPr>
            <w:t>31 августа</w:t>
          </w:r>
          <w:r w:rsidR="00B870C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514AB">
            <w:rPr>
              <w:rFonts w:ascii="Times New Roman" w:hAnsi="Times New Roman" w:cs="Times New Roman"/>
              <w:sz w:val="28"/>
              <w:szCs w:val="28"/>
            </w:rPr>
            <w:t>277</w:t>
          </w:r>
          <w:r w:rsidR="00E223A1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3F75"/>
    <w:rsid w:val="00035B69"/>
    <w:rsid w:val="00044C3D"/>
    <w:rsid w:val="00045B13"/>
    <w:rsid w:val="000B3763"/>
    <w:rsid w:val="000F0D60"/>
    <w:rsid w:val="000F1201"/>
    <w:rsid w:val="00112896"/>
    <w:rsid w:val="00113509"/>
    <w:rsid w:val="00131415"/>
    <w:rsid w:val="001320A9"/>
    <w:rsid w:val="0013551E"/>
    <w:rsid w:val="00165A9C"/>
    <w:rsid w:val="001719D6"/>
    <w:rsid w:val="00191EB4"/>
    <w:rsid w:val="001B4821"/>
    <w:rsid w:val="001D56FE"/>
    <w:rsid w:val="001E7CEC"/>
    <w:rsid w:val="001F448D"/>
    <w:rsid w:val="002220DB"/>
    <w:rsid w:val="00281C02"/>
    <w:rsid w:val="00297D07"/>
    <w:rsid w:val="002A2BD9"/>
    <w:rsid w:val="002C04D4"/>
    <w:rsid w:val="002F09D7"/>
    <w:rsid w:val="00320F7D"/>
    <w:rsid w:val="00334A54"/>
    <w:rsid w:val="00362AAA"/>
    <w:rsid w:val="003771E4"/>
    <w:rsid w:val="0037724A"/>
    <w:rsid w:val="00381162"/>
    <w:rsid w:val="00420C75"/>
    <w:rsid w:val="00433D05"/>
    <w:rsid w:val="004514AB"/>
    <w:rsid w:val="004C622A"/>
    <w:rsid w:val="004F4953"/>
    <w:rsid w:val="00533983"/>
    <w:rsid w:val="0056739B"/>
    <w:rsid w:val="005750EE"/>
    <w:rsid w:val="005915A0"/>
    <w:rsid w:val="005E0089"/>
    <w:rsid w:val="005E1B9F"/>
    <w:rsid w:val="0060529A"/>
    <w:rsid w:val="00647DA1"/>
    <w:rsid w:val="00650122"/>
    <w:rsid w:val="00680A52"/>
    <w:rsid w:val="006927E1"/>
    <w:rsid w:val="006D7B70"/>
    <w:rsid w:val="006E0AE6"/>
    <w:rsid w:val="00703CF1"/>
    <w:rsid w:val="0073582A"/>
    <w:rsid w:val="007410C4"/>
    <w:rsid w:val="007B4DC4"/>
    <w:rsid w:val="007D6DCE"/>
    <w:rsid w:val="008204A2"/>
    <w:rsid w:val="008369BE"/>
    <w:rsid w:val="008A41B7"/>
    <w:rsid w:val="0092127C"/>
    <w:rsid w:val="00925097"/>
    <w:rsid w:val="00965615"/>
    <w:rsid w:val="009F5F71"/>
    <w:rsid w:val="00A27287"/>
    <w:rsid w:val="00A750D7"/>
    <w:rsid w:val="00A8082C"/>
    <w:rsid w:val="00AC5121"/>
    <w:rsid w:val="00AF1905"/>
    <w:rsid w:val="00B26408"/>
    <w:rsid w:val="00B4219D"/>
    <w:rsid w:val="00B508BF"/>
    <w:rsid w:val="00B63FEA"/>
    <w:rsid w:val="00B870CD"/>
    <w:rsid w:val="00BB1C3D"/>
    <w:rsid w:val="00BC6A34"/>
    <w:rsid w:val="00BD14AA"/>
    <w:rsid w:val="00BD6817"/>
    <w:rsid w:val="00BF38A8"/>
    <w:rsid w:val="00BF5C38"/>
    <w:rsid w:val="00C35491"/>
    <w:rsid w:val="00C44231"/>
    <w:rsid w:val="00C7038B"/>
    <w:rsid w:val="00CB22AB"/>
    <w:rsid w:val="00CD3FA3"/>
    <w:rsid w:val="00CE12C3"/>
    <w:rsid w:val="00D0451A"/>
    <w:rsid w:val="00D26A13"/>
    <w:rsid w:val="00D47273"/>
    <w:rsid w:val="00D51EDB"/>
    <w:rsid w:val="00D65195"/>
    <w:rsid w:val="00D729AA"/>
    <w:rsid w:val="00D75E4B"/>
    <w:rsid w:val="00DA7D61"/>
    <w:rsid w:val="00DF392A"/>
    <w:rsid w:val="00E13DB6"/>
    <w:rsid w:val="00E223A1"/>
    <w:rsid w:val="00E60F93"/>
    <w:rsid w:val="00EB125E"/>
    <w:rsid w:val="00EF2169"/>
    <w:rsid w:val="00F10CE9"/>
    <w:rsid w:val="00F51E17"/>
    <w:rsid w:val="00F82F88"/>
    <w:rsid w:val="00FA31A8"/>
    <w:rsid w:val="00FA4DAD"/>
    <w:rsid w:val="00FC6A20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318BA-7DA6-4440-BFB8-C2E2C55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2022-08-31T05:53:00Z</cp:lastPrinted>
  <dcterms:created xsi:type="dcterms:W3CDTF">2022-08-31T10:50:00Z</dcterms:created>
  <dcterms:modified xsi:type="dcterms:W3CDTF">2022-08-31T10:50:00Z</dcterms:modified>
</cp:coreProperties>
</file>